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A1538"/>
          <w:sz w:val="32"/>
          <w:szCs w:val="32"/>
        </w:rPr>
        <w:t xml:space="preserve">Checklist: who to notify after a death</w:t>
      </w:r>
    </w:p>
    <w:p>
      <w:pPr>
        <w:spacing w:after="40"/>
      </w:pPr>
      <w:r>
        <w:rPr>
          <w:rFonts w:ascii="Calibri" w:cs="Calibri" w:eastAsia="Calibri" w:hAnsi="Calibri"/>
          <w:color w:val="7A7394"/>
          <w:sz w:val="20"/>
          <w:szCs w:val="20"/>
        </w:rPr>
        <w:t xml:space="preserve">What to do when someone dies in Switzerland: who to notify, in what order</w:t>
      </w:r>
    </w:p>
    <w:p>
      <w:pPr>
        <w:spacing w:after="0"/>
      </w:pPr>
      <w:r>
        <w:rPr>
          <w:rFonts w:ascii="Calibri" w:cs="Calibri" w:eastAsia="Calibri" w:hAnsi="Calibri"/>
          <w:i/>
          <w:iCs/>
          <w:color w:val="7A7394"/>
          <w:sz w:val="17"/>
          <w:szCs w:val="17"/>
        </w:rPr>
        <w:t xml:space="preserve">Print it out, then tick and fill it in by hand.</w:t>
      </w:r>
    </w:p>
    <w:p>
      <w:pPr>
        <w:pBdr>
          <w:bottom w:val="single" w:color="E8E6F2" w:sz="6" w:space="1"/>
        </w:pBdr>
        <w:spacing w:after="240" w:before="160"/>
      </w:pPr>
    </w:p>
    <w:p>
      <w:pPr>
        <w:spacing w:after="140" w:before="0"/>
      </w:pPr>
      <w:r>
        <w:rPr>
          <w:rFonts w:ascii="Calibri" w:cs="Calibri" w:eastAsia="Calibri" w:hAnsi="Calibri"/>
          <w:b/>
          <w:bCs/>
          <w:color w:val="1A1538"/>
          <w:sz w:val="22"/>
          <w:szCs w:val="22"/>
        </w:rPr>
        <w:t xml:space="preserve">In the first week</w:t>
      </w:r>
    </w:p>
    <w:tbl>
      <w:tblPr>
        <w:tblW w:type="dxa" w:w="9638"/>
        <w:tblBorders>
          <w:top w:val="none" w:color="auto" w:sz="0"/>
          <w:left w:val="none" w:color="auto" w:sz="0"/>
          <w:bottom w:val="none" w:color="auto" w:sz="0"/>
          <w:right w:val="none" w:color="auto" w:sz="0"/>
          <w:insideH w:val="single" w:color="auto" w:sz="4"/>
          <w:insideV w:val="single" w:color="auto" w:sz="4"/>
        </w:tblBorders>
      </w:tblPr>
      <w:tblGrid>
        <w:gridCol w:w="460"/>
        <w:gridCol w:w="9178"/>
      </w:tblGrid>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The OASI compensation office — the pension is due until the end of the month in which the death occurred, and anything paid after that has to be given back. It is also the office that looks at a widow's, widower's or orphan's pension.</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The occupational pension fund (BVG / LPP) — a spouse's pension, an orphan's pension or a lump-sum death benefit, depending on the fund's rules. Tell them without waiting.</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The health insurer — cover ends with the death, and premiums paid in advance are refunded pro rata.</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The employer — final salary, untaken holiday, and the insurance attached to the employment contract.</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The banks and PostFinance — accounts are frozen (blocked) as soon as they are told, until the certificate of inheritance. Check the standing orders first.</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The letting agent or the landlord — a lease does not end with the tenant's death. It passes to the heirs, who can terminate it by giving the legally prescribed notice.</w:t>
            </w:r>
          </w:p>
        </w:tc>
      </w:tr>
    </w:tbl>
    <w:p>
      <w:pPr>
        <w:spacing w:after="60"/>
      </w:pPr>
    </w:p>
    <w:p>
      <w:pPr>
        <w:spacing w:after="140" w:before="320"/>
      </w:pPr>
      <w:r>
        <w:rPr>
          <w:rFonts w:ascii="Calibri" w:cs="Calibri" w:eastAsia="Calibri" w:hAnsi="Calibri"/>
          <w:b/>
          <w:bCs/>
          <w:color w:val="1A1538"/>
          <w:sz w:val="22"/>
          <w:szCs w:val="22"/>
        </w:rPr>
        <w:t xml:space="preserve">Within the month</w:t>
      </w:r>
    </w:p>
    <w:tbl>
      <w:tblPr>
        <w:tblW w:type="dxa" w:w="9638"/>
        <w:tblBorders>
          <w:top w:val="none" w:color="auto" w:sz="0"/>
          <w:left w:val="none" w:color="auto" w:sz="0"/>
          <w:bottom w:val="none" w:color="auto" w:sz="0"/>
          <w:right w:val="none" w:color="auto" w:sz="0"/>
          <w:insideH w:val="single" w:color="auto" w:sz="4"/>
          <w:insideV w:val="single" w:color="auto" w:sz="4"/>
        </w:tblBorders>
      </w:tblPr>
      <w:tblGrid>
        <w:gridCol w:w="460"/>
        <w:gridCol w:w="9178"/>
      </w:tblGrid>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Private insurance — household contents, third-party liability, legal expenses, vehicle, life insurance.</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The residents' registration office (Einwohnerkontrolle / contrôle des habitants) — removal from the register, and whatever else your municipality handles.</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Serafe — the radio and television licence fee, to be cancelled for that household.</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Phone, internet, electricity — terminated, or transferred to the surviving spouse's name.</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Swiss Post — a redirection order sending the mail to whoever is dealing with the paperwork. Very useful for not missing anything.</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Subscriptions and cards — public transport, newspapers, clubs, online services, loyalty and credit cards.</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The family doctor, the pharmacy, the home-care service (Spitex) — to stop deliveries, treatments and scheduled visits.</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The vehicle — the cantonal road traffic office (Strassenverkehrsamt / service des automobiles), the plates and the insurance.</w:t>
            </w:r>
          </w:p>
        </w:tc>
      </w:tr>
    </w:tbl>
    <w:p>
      <w:pPr>
        <w:spacing w:after="60"/>
      </w:pPr>
    </w:p>
    <w:p>
      <w:pPr>
        <w:spacing w:after="140" w:before="320"/>
      </w:pPr>
      <w:r>
        <w:rPr>
          <w:rFonts w:ascii="Calibri" w:cs="Calibri" w:eastAsia="Calibri" w:hAnsi="Calibri"/>
          <w:b/>
          <w:bCs/>
          <w:color w:val="1A1538"/>
          <w:sz w:val="22"/>
          <w:szCs w:val="22"/>
        </w:rPr>
        <w:t xml:space="preserve">Later, with no urgency</w:t>
      </w:r>
    </w:p>
    <w:tbl>
      <w:tblPr>
        <w:tblW w:type="dxa" w:w="9638"/>
        <w:tblBorders>
          <w:top w:val="none" w:color="auto" w:sz="0"/>
          <w:left w:val="none" w:color="auto" w:sz="0"/>
          <w:bottom w:val="none" w:color="auto" w:sz="0"/>
          <w:right w:val="none" w:color="auto" w:sz="0"/>
          <w:insideH w:val="single" w:color="auto" w:sz="4"/>
          <w:insideV w:val="single" w:color="auto" w:sz="4"/>
        </w:tblBorders>
      </w:tblPr>
      <w:tblGrid>
        <w:gridCol w:w="460"/>
        <w:gridCol w:w="9178"/>
      </w:tblGrid>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The tax office — a return covering the period up to the death will be asked for. The authority gets in touch.</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The land registry — only if there is property, and only after the certificate of inheritance.</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Online accounts and social media — deleted, or turned into memorial accounts. Nothing presses, and most platforms ask for the death certificate.</w:t>
            </w:r>
          </w:p>
        </w:tc>
      </w:tr>
      <w:tr>
        <w:tc>
          <w:tcPr>
            <w:tcW w:type="dxa" w:w="460"/>
            <w:tcBorders>
              <w:top w:val="none" w:color="auto" w:sz="0"/>
              <w:left w:val="none" w:color="auto" w:sz="0"/>
              <w:bottom w:val="none" w:color="auto" w:sz="0"/>
              <w:right w:val="none" w:color="auto" w:sz="0"/>
            </w:tcBorders>
            <w:tcMar>
              <w:top w:type="dxa" w:w="0"/>
              <w:left w:type="dxa" w:w="0"/>
              <w:bottom w:type="dxa" w:w="0"/>
              <w:right w:type="dxa" w:w="0"/>
            </w:tcMar>
            <w:vAlign w:val="top"/>
          </w:tcPr>
          <w:p>
            <w:pPr>
              <w:pBdr>
                <w:top w:val="single" w:color="7A7394" w:sz="6" w:space="0"/>
                <w:bottom w:val="single" w:color="7A7394" w:sz="6" w:space="0"/>
                <w:left w:val="single" w:color="7A7394" w:sz="6" w:space="0"/>
                <w:right w:val="single" w:color="7A7394" w:sz="6" w:space="0"/>
              </w:pBdr>
              <w:spacing w:after="0" w:before="40" w:line="260" w:lineRule="exact"/>
              <w:ind w:left="40" w:right="160"/>
            </w:pPr>
          </w:p>
        </w:tc>
        <w:tc>
          <w:tcPr>
            <w:tcW w:type="dxa" w:w="9178"/>
            <w:tcBorders>
              <w:top w:val="none" w:color="auto" w:sz="0"/>
              <w:left w:val="none" w:color="auto" w:sz="0"/>
              <w:bottom w:val="none" w:color="auto" w:sz="0"/>
              <w:right w:val="none" w:color="auto" w:sz="0"/>
            </w:tcBorders>
            <w:tcMar>
              <w:top w:type="dxa" w:w="0"/>
              <w:left w:type="dxa" w:w="0"/>
              <w:bottom w:type="dxa" w:w="140"/>
              <w:right w:type="dxa" w:w="0"/>
            </w:tcMar>
          </w:tcPr>
          <w:p>
            <w:pPr>
              <w:spacing w:after="0" w:line="300"/>
            </w:pPr>
            <w:r>
              <w:rPr>
                <w:rFonts w:ascii="Calibri" w:cs="Calibri" w:eastAsia="Calibri" w:hAnsi="Calibri"/>
                <w:color w:val="4A4268"/>
                <w:sz w:val="22"/>
                <w:szCs w:val="22"/>
              </w:rPr>
              <w:t xml:space="preserve">Clubs, the parish, local societies — annual dues and subscriptions.</w:t>
            </w:r>
          </w:p>
        </w:tc>
      </w:tr>
    </w:tbl>
    <w:p>
      <w:pPr>
        <w:spacing w:after="60"/>
      </w:pPr>
    </w:p>
    <w:p>
      <w:pPr>
        <w:spacing w:before="120"/>
      </w:pPr>
      <w:r>
        <w:rPr>
          <w:rFonts w:ascii="Calibri" w:cs="Calibri" w:eastAsia="Calibri" w:hAnsi="Calibri"/>
          <w:color w:val="7A7394"/>
          <w:sz w:val="17"/>
          <w:szCs w:val="17"/>
        </w:rPr>
        <w:t xml:space="preserve">Source: </w:t>
      </w:r>
      <w:r>
        <w:rPr>
          <w:rFonts w:ascii="Calibri" w:cs="Calibri" w:eastAsia="Calibri" w:hAnsi="Calibri"/>
          <w:color w:val="6448E3"/>
          <w:sz w:val="17"/>
          <w:szCs w:val="17"/>
        </w:rPr>
        <w:t xml:space="preserve">https://www.funere.com/ch-en/guides/death-formalities</w:t>
      </w:r>
    </w:p>
    <w:sectPr>
      <w:head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E6F2" w:sz="6" w:space="6"/>
      </w:pBdr>
      <w:tabs>
        <w:tab w:val="right" w:pos="9638"/>
      </w:tabs>
      <w:spacing w:after="80"/>
    </w:pPr>
    <w:r>
      <w:rPr>
        <w:rFonts w:ascii="Calibri" w:cs="Calibri" w:eastAsia="Calibri" w:hAnsi="Calibri"/>
        <w:b/>
        <w:bCs/>
        <w:color w:val="6448E3"/>
        <w:sz w:val="20"/>
        <w:szCs w:val="20"/>
      </w:rPr>
      <w:t xml:space="preserve">Funere</w:t>
    </w:r>
    <w:r>
      <w:rPr>
        <w:rFonts w:ascii="Calibri" w:cs="Calibri" w:eastAsia="Calibri" w:hAnsi="Calibri"/>
        <w:color w:val="7A7394"/>
        <w:sz w:val="17"/>
        <w:szCs w:val="17"/>
      </w:rPr>
      <w:tab/>
      <w:t xml:space="preserve">funere.com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who to notify after a death</dc:title>
  <dc:creator>Funere</dc:creator>
  <dc:description>What to do when someone dies in Switzerland: who to notify, in what order</dc:description>
  <cp:lastModifiedBy>Un-named</cp:lastModifiedBy>
  <cp:revision>1</cp:revision>
  <dcterms:created xsi:type="dcterms:W3CDTF">2026-08-23T16:42:28.028Z</dcterms:created>
  <dcterms:modified xsi:type="dcterms:W3CDTF">2026-08-23T16:42:28.028Z</dcterms:modified>
</cp:coreProperties>
</file>

<file path=docProps/custom.xml><?xml version="1.0" encoding="utf-8"?>
<Properties xmlns="http://schemas.openxmlformats.org/officeDocument/2006/custom-properties" xmlns:vt="http://schemas.openxmlformats.org/officeDocument/2006/docPropsVTypes"/>
</file>