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Letter to the bank and account closure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Bank accounts and pensions after a death in Switzerland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The underlined passages are yours to fill in.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 of the heir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Street, postcode, town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By registered post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Name of the bank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Street, postcode, town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Place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Re: death of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first name, surname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born on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client relationship no.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number, if known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Dear Sir or Madam,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We write to inform you that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first name, surname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died on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place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A copy of the death certificate is enclosed.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Please send us a full statement of the assets, accounts, securities deposits, safe deposit boxes and loans held on the date of death, together with a list of the standing orders and direct debits still running, so that we can cancel them.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We also ask you to settle the enclosed funeral home invoice of CHF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amount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directly from the deceased's assets, in favour of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company and IBAN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Once you have received the certificate of inheritance, which we will forward to you, please close the client relationship and transfer the balance according to our instructions.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You can reach us at the address above or on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telephone number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Yours faithfully,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Signature of each heir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First name and surname in block capitals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Enclosures: copy of the death certificate, funeral home invoice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Good to know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Send the same request for a statement to every institution involved. If you do not know where the deceased held assets, the tax returns of the last few years list them all.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https://www.funere.com/ch-en/guides/bank-accounts-after-death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the bank and account closure</dc:title>
  <dc:creator>Funere</dc:creator>
  <dc:description>Bank accounts and pensions after a death in Switzerland</dc:description>
  <cp:lastModifiedBy>Un-named</cp:lastModifiedBy>
  <cp:revision>1</cp:revision>
  <dcterms:created xsi:type="dcterms:W3CDTF">2026-08-23T16:43:11.719Z</dcterms:created>
  <dcterms:modified xsi:type="dcterms:W3CDTF">2026-08-23T16:43:11.719Z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