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Holographic will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Writing a will in Switzerland: the forms that hold up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To be copied out entirely by hand. A printed copy has no legal force.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This is my will.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born 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resident at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street, postcode, town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capable of judgement, hereby dispose of my estate to take effect on my death.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 revoke all dispositions upon death made previously, wills and codicils alike.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 appoint as my heir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surname, date of birth, address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for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specify: my whole estate, the disposable part, or a fraction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 bequeath to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surname, date of birth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identify the asset without ambiguity: a property by its municipality and land parcel number, an account by its bank, an object by its description, a sum by its amount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Should a person named above die before me, their share passes to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specify, or delete this paragraph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 appoint as executor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surname, address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tasked with carrying out my last wishes and conducting the division of the estate.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Optional: delete this paragraph if you appoint no one.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Place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day, month and year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Handwritten signature, first name and surname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Good to know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Copy this text out entirely by hand. A printed copy is void, even signed. Write the date in full, sign at the end. And tell someone close to you where it is: a will nobody can find is worth nothing. You can deposit it with a notary or with the competent cantonal authority.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https://www.funere.com/ch-en/guides/writing-a-will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Holographic will</dc:title>
  <dc:creator>Funere</dc:creator>
  <dc:description>Writing a will in Switzerland: the forms that hold up</dc:description>
  <cp:lastModifiedBy>Un-named</cp:lastModifiedBy>
  <cp:revision>1</cp:revision>
  <dcterms:created xsi:type="dcterms:W3CDTF">2026-08-23T16:42:29.477Z</dcterms:created>
  <dcterms:modified xsi:type="dcterms:W3CDTF">2026-08-23T16:42:29.477Z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