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Chi avvisare dopo un decesso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Documenti e pratiche: chi avvisare, e in quale ordine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Da stampare, poi da spuntare e completare a mano.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140" w:before="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Nella prima settimana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cassa di compensazione AVS — la rendita è dovuta fino alla fine del mese del decesso. Un versamento successivo va restituito. È la stessa cassa che esamina un'eventuale rendita vedovile o per orfani.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L'istituto di previdenza, LPP — rendita per il coniuge superstite, rendita per orfani o capitale ai superstiti secondo il regolamento. Da annunciare senza aspettare.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cassa malati — la copertura finisce con il decesso. I premi pagati in anticipo vengono rimborsati pro rata.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Il datore di lavoro — ultimo salario, saldo delle vacanze, assicurazioni legate al contratto di lavoro.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 banche e PostFinance — i conti sono bloccati dall'annuncio e fino al certificato ereditario. Controlli prima gli ordini permanenti in corso.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L'amministrazione dello stabile o il locatore — il contratto d'affitto non si estingue con il decesso, passa agli eredi, che possono disdirlo nei termini legali.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Entro il mese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Le assicurazioni private — mobilia domestica, responsabilità civile, protezione giuridica, veicolo, assicurazione vita.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Il controllo abitanti del Comune — cancellazione dal registro ed eventuali pratiche comunali.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Serafe — canone radiotelevisivo, da disdire per l'economia domestica interessata.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Telefono, internet, elettricità — disdetta o passaggio a nome del coniuge superstite.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La Posta — ordine di rispedizione della corrispondenza a chi si occupa delle pratiche. Utilissimo per non perdere nulla.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Abbonamenti e tessere — trasporti pubblici, giornali, club, servizi online, carte fedeltà e carte di credito.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Medico di famiglia, farmacia, servizio di assistenza a domicilio — per fermare consegne, terapie e passaggi già fissati.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Il veicolo — ufficio cantonale della circolazione, targhe e assicurazione.</w:t>
            </w:r>
          </w:p>
        </w:tc>
      </w:tr>
    </w:tbl>
    <w:p>
      <w:pPr>
        <w:spacing w:after="60"/>
      </w:pP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1A1538"/>
          <w:sz w:val="22"/>
          <w:szCs w:val="22"/>
        </w:rPr>
        <w:t xml:space="preserve">Più avanti, senza urgenza</w:t>
      </w:r>
    </w:p>
    <w:tbl>
      <w:tblPr>
        <w:tblW w:type="dxa" w:w="9638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460"/>
        <w:gridCol w:w="9178"/>
      </w:tblGrid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L'autorità fiscale — verrà chiesta una dichiarazione d'imposta per il periodo fino al decesso. È l'autorità a farsi viva.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Il registro fondiario — solo se c'è un immobile, e dopo il certificato ereditario.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Gli account online e i social — chiusura, oppure trasformazione in account commemorativo. Nessuna fretta, e quasi sempre serve l'atto di morte.</w:t>
            </w:r>
          </w:p>
        </w:tc>
      </w:tr>
      <w:tr>
        <w:tc>
          <w:tcPr>
            <w:tcW w:type="dxa" w:w="46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pBdr>
                <w:top w:val="single" w:color="7A7394" w:sz="6" w:space="0"/>
                <w:bottom w:val="single" w:color="7A7394" w:sz="6" w:space="0"/>
                <w:left w:val="single" w:color="7A7394" w:sz="6" w:space="0"/>
                <w:right w:val="single" w:color="7A7394" w:sz="6" w:space="0"/>
              </w:pBdr>
              <w:spacing w:after="0" w:before="40" w:line="260" w:lineRule="exact"/>
              <w:ind w:left="40" w:right="160"/>
            </w:pPr>
          </w:p>
        </w:tc>
        <w:tc>
          <w:tcPr>
            <w:tcW w:type="dxa" w:w="917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140"/>
              <w:right w:type="dxa" w:w="0"/>
            </w:tcMar>
          </w:tcPr>
          <w:p>
            <w:pPr>
              <w:spacing w:after="0" w:line="300"/>
            </w:pPr>
            <w:r>
              <w:rPr>
                <w:rFonts w:ascii="Calibri" w:cs="Calibri" w:eastAsia="Calibri" w:hAnsi="Calibri"/>
                <w:color w:val="4A4268"/>
                <w:sz w:val="22"/>
                <w:szCs w:val="22"/>
              </w:rPr>
              <w:t xml:space="preserve">Associazioni, parrocchia, società del paese — quote e abbonamenti annuali.</w:t>
            </w:r>
          </w:p>
        </w:tc>
      </w:tr>
    </w:tbl>
    <w:p>
      <w:pPr>
        <w:spacing w:after="60"/>
      </w:pP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https://www.funere.com/ch-it/guida/documenti-e-pratiche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 avvisare dopo un decesso</dc:title>
  <dc:creator>Funere</dc:creator>
  <dc:description>Documenti e pratiche: chi avvisare, e in quale ordine</dc:description>
  <cp:lastModifiedBy>Un-named</cp:lastModifiedBy>
  <cp:revision>1</cp:revision>
  <dcterms:created xsi:type="dcterms:W3CDTF">2026-08-23T16:42:28.608Z</dcterms:created>
  <dcterms:modified xsi:type="dcterms:W3CDTF">2026-08-23T16:42:28.608Z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